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404E3E92" w14:textId="739DAF47" w:rsidR="00B851B6" w:rsidRPr="00B851B6" w:rsidRDefault="00B851B6" w:rsidP="008125EA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 xml:space="preserve">N1: Změnit pravidla podpory firemních investic formou pobídek tak, aby byly podpořeny investice s vysokou přidanou hodnotou vč. zapojení firem do spolupráce s výzkumnými centry a výzkumnými organizacemi </w:t>
      </w:r>
      <w:r w:rsidRPr="00B851B6">
        <w:t xml:space="preserve"> </w:t>
      </w:r>
    </w:p>
    <w:p w14:paraId="14C32C6D" w14:textId="464B5AC1" w:rsidR="00B851B6" w:rsidRDefault="00B851B6" w:rsidP="008125EA">
      <w:pPr>
        <w:spacing w:after="0" w:line="240" w:lineRule="auto"/>
        <w:ind w:left="1410"/>
      </w:pPr>
      <w:r w:rsidRPr="00B851B6">
        <w:t>N</w:t>
      </w:r>
      <w:r w:rsidR="008125EA">
        <w:t>2: Zakomponovat do podpory investic vyšší podporu MSP s potenciálem růstu produkce s vysokou přidanou hodnotou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7DD0AE61" w14:textId="294C631F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091995">
        <w:t xml:space="preserve">Zvýšit </w:t>
      </w:r>
      <w:r w:rsidR="00684A60">
        <w:t>objem firemních investic s vysokou přidanou hodnotou</w:t>
      </w:r>
      <w:r w:rsidR="00D73D4C">
        <w:t>, podpořit investice 4.0 a dosáhnout zvýšení investic do perspektivních odvětví (umělá inteligence, kosmické technologie, laser, nanotechnologie, biotechnologie., …)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54AD6C15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EA4959">
        <w:rPr>
          <w:b/>
        </w:rPr>
        <w:t xml:space="preserve"> </w:t>
      </w:r>
      <w:r w:rsidR="00EA4959" w:rsidRPr="00EA4959">
        <w:t>V posledních letech</w:t>
      </w:r>
      <w:r w:rsidR="00EA4959">
        <w:t xml:space="preserve"> ekonomického růstu roste poptávka po modernějších výrobních postupech, které by zanechaly know-how tady v České republice a neodnášely vyšší přidanou hodnotu zahraničním mateřským společnostem. </w:t>
      </w:r>
      <w:r w:rsidR="00822F07">
        <w:t>Snaha posilovat konkurenceschopnost malých a středních podniků prostřednictvím digitální transformace, kladení většího důrazu na inovativnost MSP, zvýšení podnikavosti, komercionalizaci výsledků výzkumu a vývoje podporou inovačního potenciálu podniků a zvyšování přidané hodnoty výrobků a služeb.</w:t>
      </w:r>
      <w:r w:rsidR="0036439C" w:rsidRPr="00EA4959">
        <w:t xml:space="preserve"> </w:t>
      </w:r>
      <w:r w:rsidR="00760958" w:rsidRPr="00EA4959">
        <w:t xml:space="preserve"> </w:t>
      </w:r>
      <w:r w:rsidR="003F7793" w:rsidRPr="00EA4959">
        <w:t xml:space="preserve">   </w:t>
      </w:r>
      <w:r w:rsidR="00FA16DF" w:rsidRPr="00EA4959">
        <w:t xml:space="preserve">  </w:t>
      </w:r>
    </w:p>
    <w:p w14:paraId="7EA7C7B7" w14:textId="77777777" w:rsidR="00B851B6" w:rsidRDefault="00B851B6" w:rsidP="003B2976">
      <w:pPr>
        <w:spacing w:after="0" w:line="240" w:lineRule="auto"/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400ED722" w14:textId="77777777" w:rsidR="00ED429E" w:rsidRPr="000E73BE" w:rsidRDefault="00ED429E" w:rsidP="003B2976">
      <w:pPr>
        <w:spacing w:after="0" w:line="240" w:lineRule="auto"/>
      </w:pPr>
      <w:r w:rsidRPr="000E73BE">
        <w:t xml:space="preserve">V případě první identifikované bariéry: </w:t>
      </w:r>
    </w:p>
    <w:p w14:paraId="1460125D" w14:textId="0FFE5CC2" w:rsidR="00ED429E" w:rsidRDefault="00231B57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novela zákona č. 72/2000 Sb., o investičních pobídkách a nařízení vlády k této novele</w:t>
      </w:r>
    </w:p>
    <w:p w14:paraId="44AD398D" w14:textId="0B24C912" w:rsidR="0036439C" w:rsidRPr="002C7A4F" w:rsidRDefault="00231B57" w:rsidP="00231B57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vyhlášení I. výzvy OP PIK v rámci programu Poradenství s plánovanou aktivitou b) nákup poradenských služeb </w:t>
      </w:r>
      <w:r w:rsidRPr="00231B57">
        <w:t xml:space="preserve">pro MSP s cílem vytvořit Plán digitální transformace, který bude možné implementovat v rámci realizace projektů v plánovaných výzvách ITI Ostrava, ITI Olomouc a národní výzvě programu Technologie XI., které budou zaměřené na růst a posilování konkurenceschopnosti MSP prostřednictvím digitální transformace. </w:t>
      </w:r>
      <w:r w:rsidR="002C7A4F" w:rsidRPr="002C7A4F">
        <w:t xml:space="preserve"> </w:t>
      </w:r>
    </w:p>
    <w:p w14:paraId="5550638C" w14:textId="77777777" w:rsidR="000E73BE" w:rsidRDefault="000E73BE" w:rsidP="003B2976">
      <w:pPr>
        <w:spacing w:after="0" w:line="240" w:lineRule="auto"/>
      </w:pPr>
      <w:r w:rsidRPr="000E73BE">
        <w:t xml:space="preserve">V případě </w:t>
      </w:r>
      <w:r>
        <w:t>druhé</w:t>
      </w:r>
      <w:r w:rsidRPr="000E73BE">
        <w:t xml:space="preserve"> identifikované bariéry: </w:t>
      </w:r>
    </w:p>
    <w:p w14:paraId="5FEF4AFC" w14:textId="7032DBDF" w:rsidR="007336FC" w:rsidRPr="00231B57" w:rsidRDefault="00231B57" w:rsidP="00231B5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31B57">
        <w:t>Vyhlášení navazujících výzev programu Technologie zaměřených na růst a posilování konkurenceschopnosti MSP prostřednictvím digitální transformace.</w:t>
      </w:r>
    </w:p>
    <w:p w14:paraId="4F608860" w14:textId="04E57806" w:rsidR="00231B57" w:rsidRPr="00231B57" w:rsidRDefault="00231B57" w:rsidP="00231B57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231B57">
        <w:t>Strategie podpory MSP pro období 2021+, která je aktuálně připravována ve spolupráci se Světovou bankou.</w:t>
      </w: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0D986D24" w14:textId="573D3284" w:rsidR="00231B57" w:rsidRDefault="000E73BE" w:rsidP="003B2976">
      <w:pPr>
        <w:spacing w:after="0" w:line="240" w:lineRule="auto"/>
      </w:pPr>
      <w:r>
        <w:t xml:space="preserve"> </w:t>
      </w:r>
      <w:r>
        <w:tab/>
        <w:t>Ad a.</w:t>
      </w:r>
      <w:r w:rsidR="00231B57">
        <w:t xml:space="preserve"> </w:t>
      </w:r>
      <w:r>
        <w:t xml:space="preserve">– </w:t>
      </w:r>
      <w:r w:rsidR="003B2976">
        <w:t>L</w:t>
      </w:r>
      <w:r>
        <w:t>egislativní úprava</w:t>
      </w:r>
      <w:r w:rsidR="00231B57">
        <w:t xml:space="preserve"> v platném znění</w:t>
      </w:r>
      <w:r>
        <w:tab/>
      </w:r>
      <w:r>
        <w:tab/>
      </w:r>
      <w:r w:rsidR="00231B57">
        <w:t>09</w:t>
      </w:r>
      <w:r>
        <w:t>/20</w:t>
      </w:r>
      <w:r w:rsidR="00231B57">
        <w:t>19</w:t>
      </w:r>
    </w:p>
    <w:p w14:paraId="31F2FA68" w14:textId="64D029B9" w:rsidR="000E73BE" w:rsidRDefault="00231B57" w:rsidP="003B2976">
      <w:pPr>
        <w:spacing w:after="0" w:line="240" w:lineRule="auto"/>
      </w:pPr>
      <w:r>
        <w:t xml:space="preserve"> </w:t>
      </w:r>
      <w:r>
        <w:tab/>
        <w:t xml:space="preserve">Ad b. </w:t>
      </w:r>
      <w:r>
        <w:t>–</w:t>
      </w:r>
      <w:r>
        <w:t xml:space="preserve"> </w:t>
      </w:r>
      <w:r w:rsidR="004F0A8B">
        <w:t>K</w:t>
      </w:r>
      <w:r>
        <w:t xml:space="preserve">onec příjmu žádostí ve výzvě Poradenství </w:t>
      </w:r>
      <w:r>
        <w:tab/>
        <w:t>11/2019</w:t>
      </w:r>
    </w:p>
    <w:p w14:paraId="4B4E7953" w14:textId="117599F6" w:rsidR="000E73BE" w:rsidRDefault="000E73BE" w:rsidP="003B2976">
      <w:pPr>
        <w:spacing w:after="0" w:line="240" w:lineRule="auto"/>
      </w:pPr>
      <w:r>
        <w:tab/>
        <w:t xml:space="preserve">Ad c. – </w:t>
      </w:r>
      <w:r w:rsidR="004F0A8B">
        <w:t>V</w:t>
      </w:r>
      <w:r w:rsidR="00231B57">
        <w:t>yhlášení navazujících výzev</w:t>
      </w:r>
      <w:r>
        <w:tab/>
      </w:r>
      <w:r>
        <w:tab/>
      </w:r>
      <w:r>
        <w:tab/>
      </w:r>
      <w:r w:rsidR="00231B57">
        <w:t>?</w:t>
      </w:r>
    </w:p>
    <w:p w14:paraId="1C913F12" w14:textId="0E62919B" w:rsidR="00D75C83" w:rsidRDefault="000E73BE" w:rsidP="003B2976">
      <w:pPr>
        <w:spacing w:after="0" w:line="240" w:lineRule="auto"/>
      </w:pPr>
      <w:r w:rsidRPr="003B2976">
        <w:tab/>
      </w:r>
      <w:r w:rsidR="00231B57">
        <w:t xml:space="preserve">Ad d. </w:t>
      </w:r>
      <w:r w:rsidR="00231B57">
        <w:t xml:space="preserve">– </w:t>
      </w:r>
      <w:r w:rsidR="00231B57">
        <w:tab/>
      </w:r>
      <w:r w:rsidR="002A22AE">
        <w:t xml:space="preserve">Schválení </w:t>
      </w:r>
      <w:r w:rsidR="004F0A8B">
        <w:t>strategie</w:t>
      </w:r>
      <w:r w:rsidRPr="003B2976">
        <w:tab/>
      </w:r>
      <w:r w:rsidR="003B2976" w:rsidRPr="003B2976">
        <w:tab/>
      </w:r>
      <w:r w:rsidR="003B2976" w:rsidRPr="003B2976">
        <w:tab/>
      </w:r>
      <w:r w:rsidR="003B2976" w:rsidRPr="003B2976">
        <w:tab/>
      </w:r>
      <w:r w:rsidR="002A22AE">
        <w:t>01/2020</w:t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11201110" w14:textId="5C4499AF" w:rsidR="003B2976" w:rsidRDefault="003B2976" w:rsidP="003B2976">
      <w:pPr>
        <w:spacing w:after="0" w:line="240" w:lineRule="auto"/>
      </w:pPr>
      <w:r>
        <w:tab/>
        <w:t xml:space="preserve">Ad </w:t>
      </w:r>
      <w:r w:rsidR="00D82385">
        <w:t xml:space="preserve">a. – </w:t>
      </w:r>
      <w:r w:rsidR="00D82385">
        <w:tab/>
        <w:t xml:space="preserve">Legislativní úprava: </w:t>
      </w:r>
      <w:r w:rsidR="00D82385">
        <w:tab/>
      </w:r>
      <w:r w:rsidR="00D82385">
        <w:tab/>
      </w:r>
      <w:r w:rsidR="00D82385">
        <w:tab/>
      </w:r>
      <w:r w:rsidR="00D82385">
        <w:tab/>
      </w:r>
      <w:r>
        <w:t>interní/</w:t>
      </w:r>
      <w:r w:rsidR="00C46FFD">
        <w:t>stávající</w:t>
      </w:r>
      <w:r>
        <w:t xml:space="preserve"> zdroje </w:t>
      </w:r>
      <w:r>
        <w:tab/>
      </w:r>
    </w:p>
    <w:p w14:paraId="163B4F35" w14:textId="76972C21" w:rsidR="003B2976" w:rsidRDefault="003B2976" w:rsidP="003B2976">
      <w:pPr>
        <w:spacing w:after="0" w:line="240" w:lineRule="auto"/>
      </w:pPr>
      <w:r>
        <w:tab/>
        <w:t xml:space="preserve">Ad b. – </w:t>
      </w:r>
      <w:r>
        <w:tab/>
      </w:r>
      <w:r w:rsidR="00E7291A">
        <w:t>financování projektů ve výzvě</w:t>
      </w:r>
      <w:r w:rsidR="00E7291A">
        <w:tab/>
      </w:r>
      <w:r w:rsidR="00E7291A">
        <w:tab/>
      </w:r>
      <w:r w:rsidR="00C46FFD">
        <w:t xml:space="preserve"> </w:t>
      </w:r>
      <w:r w:rsidR="00C46FFD">
        <w:tab/>
      </w:r>
      <w:r w:rsidR="00E7291A">
        <w:t>ESIF</w:t>
      </w:r>
    </w:p>
    <w:p w14:paraId="7C5A6729" w14:textId="5C5AB4D5" w:rsidR="003B2976" w:rsidRDefault="003B2976" w:rsidP="003B2976">
      <w:pPr>
        <w:spacing w:after="0" w:line="240" w:lineRule="auto"/>
      </w:pPr>
      <w:r>
        <w:tab/>
        <w:t xml:space="preserve">Ad c. – </w:t>
      </w:r>
      <w:r>
        <w:tab/>
      </w:r>
      <w:r w:rsidR="00E7291A">
        <w:t xml:space="preserve">financování dalších projektů </w:t>
      </w:r>
      <w:r>
        <w:tab/>
      </w:r>
      <w:r>
        <w:tab/>
      </w:r>
      <w:r>
        <w:tab/>
      </w:r>
      <w:r w:rsidR="00E7291A">
        <w:t>ESIF</w:t>
      </w:r>
      <w:r>
        <w:t xml:space="preserve"> </w:t>
      </w:r>
      <w:r>
        <w:tab/>
      </w:r>
    </w:p>
    <w:p w14:paraId="03B6B32E" w14:textId="3D444900" w:rsidR="00226D35" w:rsidRPr="00C46FFD" w:rsidRDefault="003B2976" w:rsidP="003B2976">
      <w:pPr>
        <w:spacing w:after="0" w:line="240" w:lineRule="auto"/>
      </w:pPr>
      <w:r w:rsidRPr="003B2976">
        <w:tab/>
      </w:r>
      <w:r w:rsidR="00E7291A">
        <w:t xml:space="preserve">Ad d. </w:t>
      </w:r>
      <w:r w:rsidR="00E7291A">
        <w:t>–</w:t>
      </w:r>
      <w:r w:rsidRPr="003B2976">
        <w:tab/>
      </w:r>
      <w:r w:rsidR="00E7291A">
        <w:t>Schválení strategie</w:t>
      </w:r>
      <w:r w:rsidR="00C46FFD">
        <w:tab/>
      </w:r>
      <w:r w:rsidR="00C46FFD">
        <w:tab/>
      </w:r>
      <w:r w:rsidR="00C46FFD">
        <w:tab/>
      </w:r>
      <w:r w:rsidR="00C46FFD">
        <w:tab/>
      </w:r>
      <w:r w:rsidR="00E7291A">
        <w:t>bez dopadu na státní rozpočet</w:t>
      </w:r>
      <w:bookmarkStart w:id="0" w:name="_GoBack"/>
      <w:bookmarkEnd w:id="0"/>
      <w:r w:rsidR="00C46FFD">
        <w:t xml:space="preserve"> </w:t>
      </w: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684A60"/>
    <w:rsid w:val="007336FC"/>
    <w:rsid w:val="00760958"/>
    <w:rsid w:val="008125EA"/>
    <w:rsid w:val="00822F07"/>
    <w:rsid w:val="009D45D1"/>
    <w:rsid w:val="00B107BA"/>
    <w:rsid w:val="00B41F5C"/>
    <w:rsid w:val="00B851B6"/>
    <w:rsid w:val="00BB088F"/>
    <w:rsid w:val="00C20E65"/>
    <w:rsid w:val="00C23F27"/>
    <w:rsid w:val="00C46FFD"/>
    <w:rsid w:val="00CB7615"/>
    <w:rsid w:val="00D73D4C"/>
    <w:rsid w:val="00D75C83"/>
    <w:rsid w:val="00D82385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21BE0BED</Template>
  <TotalTime>41</TotalTime>
  <Pages>1</Pages>
  <Words>378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Orlíková Jana</cp:lastModifiedBy>
  <cp:revision>6</cp:revision>
  <dcterms:created xsi:type="dcterms:W3CDTF">2019-09-03T13:13:00Z</dcterms:created>
  <dcterms:modified xsi:type="dcterms:W3CDTF">2019-09-03T13:54:00Z</dcterms:modified>
</cp:coreProperties>
</file>